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37D959">
      <w:pPr>
        <w:bidi w:val="0"/>
        <w:ind w:left="0" w:leftChars="0" w:firstLine="0" w:firstLineChars="0"/>
        <w:jc w:val="center"/>
        <w:rPr>
          <w:rStyle w:val="12"/>
          <w:rFonts w:hint="eastAsia" w:ascii="黑体" w:hAnsi="黑体" w:eastAsia="黑体" w:cs="黑体"/>
          <w:sz w:val="32"/>
          <w:szCs w:val="32"/>
        </w:rPr>
      </w:pPr>
      <w:r>
        <w:rPr>
          <w:rStyle w:val="12"/>
          <w:rFonts w:hint="eastAsia" w:ascii="黑体" w:hAnsi="黑体" w:eastAsia="黑体" w:cs="黑体"/>
          <w:sz w:val="32"/>
          <w:szCs w:val="32"/>
          <w:lang w:val="en-US" w:eastAsia="zh-CN"/>
        </w:rPr>
        <w:t xml:space="preserve">第1章 </w:t>
      </w:r>
      <w:r>
        <w:rPr>
          <w:rStyle w:val="12"/>
          <w:rFonts w:hint="eastAsia" w:ascii="黑体" w:hAnsi="黑体" w:eastAsia="黑体" w:cs="黑体"/>
          <w:sz w:val="32"/>
          <w:szCs w:val="32"/>
        </w:rPr>
        <w:t>技术规范书</w:t>
      </w:r>
    </w:p>
    <w:p w14:paraId="3F9B5EEF">
      <w:pPr>
        <w:pStyle w:val="2"/>
        <w:bidi w:val="0"/>
        <w:rPr>
          <w:rFonts w:hint="eastAsia"/>
        </w:rPr>
      </w:pPr>
      <w:r>
        <w:rPr>
          <w:rFonts w:hint="eastAsia"/>
        </w:rPr>
        <w:t>一、项目概述</w:t>
      </w:r>
    </w:p>
    <w:p w14:paraId="11D769CD">
      <w:pPr>
        <w:bidi w:val="0"/>
        <w:rPr>
          <w:rFonts w:hint="eastAsia"/>
          <w:lang w:val="en-US" w:eastAsia="zh-CN"/>
        </w:rPr>
      </w:pPr>
      <w:r>
        <w:rPr>
          <w:rFonts w:hint="eastAsia"/>
          <w:lang w:val="en-US" w:eastAsia="zh-CN"/>
        </w:rPr>
        <w:t xml:space="preserve">本项目的服务对象为八维通科技有限公司雄安新区至北京大兴国际机场快线项目清分中心(APCC)系统（以下简称“被评系统”）。 </w:t>
      </w:r>
    </w:p>
    <w:p w14:paraId="5ED3A569">
      <w:pPr>
        <w:bidi w:val="0"/>
        <w:rPr>
          <w:rFonts w:hint="eastAsia"/>
        </w:rPr>
      </w:pPr>
      <w:r>
        <w:rPr>
          <w:rFonts w:hint="eastAsia"/>
          <w:lang w:val="en-US" w:eastAsia="zh-CN"/>
        </w:rPr>
        <w:t>按照《中华人民共和国网络安全法》《中华人民共和国数据安全法》《中华人民共和国个人信息保护法》《网络数据安全风险评估办法》《人脸识别技术应用安全管理办法》等法律法规要求，采购人需开展本系统数据安全风险评估、个人信息保护影响评估、人脸识别技术应用系统的个人信息保护影响评估，并及时完成人脸识别技术应用备案。</w:t>
      </w:r>
    </w:p>
    <w:p w14:paraId="3C7D6996">
      <w:pPr>
        <w:bidi w:val="0"/>
        <w:rPr>
          <w:rFonts w:hint="eastAsia"/>
        </w:rPr>
      </w:pPr>
      <w:r>
        <w:rPr>
          <w:rFonts w:hint="eastAsia"/>
          <w:lang w:val="en-US" w:eastAsia="zh-CN"/>
        </w:rPr>
        <w:t>本项目旨在全面梳理被评信息系统数据全生命周期存在的安全合规风险、人脸识别数据信息收集、传输、存储、使用、删除、销毁全生命周期存在的安全合规风险，识别管理与技术短板，输出合规整改建议，编制符合监管要求的评估报告与备案申报材料，协助采购人完成人脸识别技术应用备案工作，防范人脸信息泄露和滥用等安全事件，保障轨道交通运营场景个人信息权益与数据安全。</w:t>
      </w:r>
    </w:p>
    <w:p w14:paraId="595A3A74">
      <w:pPr>
        <w:bidi w:val="0"/>
        <w:rPr>
          <w:rFonts w:hint="eastAsia"/>
        </w:rPr>
      </w:pPr>
      <w:r>
        <w:rPr>
          <w:rFonts w:hint="eastAsia"/>
          <w:lang w:val="en-US" w:eastAsia="zh-CN"/>
        </w:rPr>
        <w:t>服务范围覆盖被评系统的前端采集设备、后台管理平台、人脸数据库、数据传输链路、配套管理制度、业务处理流程等全部相关软硬件与管理体系。服务商须统筹开展现场调研、技术核查、合规分析、风险研判、报告编制、材料整理、备案辅导、问题整改支撑等全部工作。</w:t>
      </w:r>
    </w:p>
    <w:p w14:paraId="75D2F225">
      <w:pPr>
        <w:pStyle w:val="2"/>
        <w:bidi w:val="0"/>
        <w:rPr>
          <w:rFonts w:hint="eastAsia"/>
        </w:rPr>
      </w:pPr>
      <w:r>
        <w:rPr>
          <w:rFonts w:hint="eastAsia"/>
        </w:rPr>
        <w:t>二、编制依据</w:t>
      </w:r>
    </w:p>
    <w:p w14:paraId="443D383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1.</w:t>
      </w:r>
      <w:r>
        <w:rPr>
          <w:rFonts w:hint="eastAsia" w:ascii="仿宋_GB2312" w:hAnsi="仿宋_GB2312" w:eastAsia="仿宋_GB2312" w:cs="仿宋_GB2312"/>
          <w:color w:val="000000"/>
          <w:sz w:val="24"/>
          <w:szCs w:val="24"/>
        </w:rPr>
        <w:t>《中华人民共和国网络安全法》</w:t>
      </w:r>
    </w:p>
    <w:p w14:paraId="6FAC43B8">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2.</w:t>
      </w:r>
      <w:r>
        <w:rPr>
          <w:rFonts w:hint="eastAsia" w:ascii="仿宋_GB2312" w:hAnsi="仿宋_GB2312" w:eastAsia="仿宋_GB2312" w:cs="仿宋_GB2312"/>
          <w:color w:val="000000"/>
          <w:sz w:val="24"/>
          <w:szCs w:val="24"/>
        </w:rPr>
        <w:t>《中华人民共和国数据安全法》</w:t>
      </w:r>
    </w:p>
    <w:p w14:paraId="031B163E">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3.</w:t>
      </w:r>
      <w:r>
        <w:rPr>
          <w:rFonts w:hint="eastAsia" w:ascii="仿宋_GB2312" w:hAnsi="仿宋_GB2312" w:eastAsia="仿宋_GB2312" w:cs="仿宋_GB2312"/>
          <w:color w:val="000000"/>
          <w:sz w:val="24"/>
          <w:szCs w:val="24"/>
        </w:rPr>
        <w:t>《中华人民共和国个人信息保护法》</w:t>
      </w:r>
    </w:p>
    <w:p w14:paraId="12B2BABC">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4.</w:t>
      </w:r>
      <w:r>
        <w:rPr>
          <w:rFonts w:hint="eastAsia" w:ascii="仿宋_GB2312" w:hAnsi="仿宋_GB2312" w:eastAsia="仿宋_GB2312" w:cs="仿宋_GB2312"/>
          <w:color w:val="000000"/>
          <w:kern w:val="0"/>
          <w:sz w:val="24"/>
          <w:szCs w:val="24"/>
          <w:lang w:val="en-US" w:eastAsia="zh-CN" w:bidi="ar"/>
        </w:rPr>
        <w:t>《网络数据安全风险评估办法》</w:t>
      </w:r>
    </w:p>
    <w:p w14:paraId="4AA81157">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5.</w:t>
      </w:r>
      <w:r>
        <w:rPr>
          <w:rFonts w:hint="eastAsia" w:ascii="仿宋_GB2312" w:hAnsi="仿宋_GB2312" w:eastAsia="仿宋_GB2312" w:cs="仿宋_GB2312"/>
          <w:color w:val="000000"/>
          <w:sz w:val="24"/>
          <w:szCs w:val="24"/>
        </w:rPr>
        <w:t>《人脸识别技术应用安全管理办法》</w:t>
      </w:r>
    </w:p>
    <w:p w14:paraId="584C0EF5">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2"/>
          <w:sz w:val="24"/>
          <w:szCs w:val="24"/>
          <w:lang w:val="en-US" w:eastAsia="zh-CN" w:bidi="ar-SA"/>
        </w:rPr>
        <w:t>6.</w:t>
      </w:r>
      <w:r>
        <w:rPr>
          <w:rFonts w:hint="eastAsia" w:ascii="仿宋_GB2312" w:hAnsi="仿宋_GB2312" w:eastAsia="仿宋_GB2312" w:cs="仿宋_GB2312"/>
          <w:color w:val="000000"/>
          <w:sz w:val="24"/>
          <w:szCs w:val="24"/>
        </w:rPr>
        <w:t>GB/T 45577-2025《数据安全技术 数据安全风险评估方法》</w:t>
      </w:r>
    </w:p>
    <w:p w14:paraId="7387499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lang w:eastAsia="zh-CN"/>
        </w:rPr>
      </w:pPr>
      <w:r>
        <w:rPr>
          <w:rFonts w:hint="eastAsia" w:ascii="仿宋_GB2312" w:hAnsi="仿宋_GB2312" w:eastAsia="仿宋_GB2312" w:cs="仿宋_GB2312"/>
          <w:color w:val="000000"/>
          <w:kern w:val="2"/>
          <w:sz w:val="24"/>
          <w:szCs w:val="24"/>
          <w:lang w:val="en-US" w:eastAsia="zh-CN" w:bidi="ar-SA"/>
        </w:rPr>
        <w:t>7.</w:t>
      </w:r>
      <w:r>
        <w:rPr>
          <w:rFonts w:hint="eastAsia" w:ascii="仿宋_GB2312" w:hAnsi="仿宋_GB2312" w:eastAsia="仿宋_GB2312" w:cs="仿宋_GB2312"/>
          <w:color w:val="000000"/>
          <w:sz w:val="24"/>
          <w:szCs w:val="24"/>
          <w:lang w:eastAsia="zh-CN"/>
        </w:rPr>
        <w:t>JT/T 1522-2024</w:t>
      </w:r>
      <w:r>
        <w:rPr>
          <w:rFonts w:hint="eastAsia" w:ascii="仿宋_GB2312" w:hAnsi="仿宋_GB2312" w:eastAsia="仿宋_GB2312" w:cs="仿宋_GB2312"/>
          <w:color w:val="000000"/>
          <w:sz w:val="24"/>
          <w:szCs w:val="24"/>
        </w:rPr>
        <w:t>《</w:t>
      </w:r>
      <w:r>
        <w:rPr>
          <w:rFonts w:hint="eastAsia" w:ascii="仿宋_GB2312" w:hAnsi="仿宋_GB2312" w:eastAsia="仿宋_GB2312" w:cs="仿宋_GB2312"/>
          <w:color w:val="000000"/>
          <w:sz w:val="24"/>
          <w:szCs w:val="24"/>
          <w:lang w:eastAsia="zh-CN"/>
        </w:rPr>
        <w:t>交通运输数据安全分级和保护要求</w:t>
      </w:r>
      <w:r>
        <w:rPr>
          <w:rFonts w:hint="eastAsia" w:ascii="仿宋_GB2312" w:hAnsi="仿宋_GB2312" w:eastAsia="仿宋_GB2312" w:cs="仿宋_GB2312"/>
          <w:color w:val="000000"/>
          <w:sz w:val="24"/>
          <w:szCs w:val="24"/>
        </w:rPr>
        <w:t>》</w:t>
      </w:r>
    </w:p>
    <w:p w14:paraId="732840F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8.</w:t>
      </w:r>
      <w:r>
        <w:rPr>
          <w:rFonts w:hint="eastAsia" w:ascii="仿宋_GB2312" w:hAnsi="仿宋_GB2312" w:eastAsia="仿宋_GB2312" w:cs="仿宋_GB2312"/>
          <w:color w:val="000000"/>
          <w:sz w:val="24"/>
          <w:szCs w:val="24"/>
        </w:rPr>
        <w:t>JT/T 1547-2025《交通运输数据安全风险评估指南》</w:t>
      </w:r>
    </w:p>
    <w:p w14:paraId="19D46279">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9.</w:t>
      </w:r>
      <w:r>
        <w:rPr>
          <w:rFonts w:hint="eastAsia" w:ascii="仿宋_GB2312" w:hAnsi="仿宋_GB2312" w:eastAsia="仿宋_GB2312" w:cs="仿宋_GB2312"/>
          <w:color w:val="000000"/>
          <w:sz w:val="24"/>
          <w:szCs w:val="24"/>
        </w:rPr>
        <w:t>GB/T 35273《信息安全技术 个人信息安全规范》</w:t>
      </w:r>
    </w:p>
    <w:p w14:paraId="3E3FD4BF">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10.</w:t>
      </w:r>
      <w:r>
        <w:rPr>
          <w:rFonts w:hint="eastAsia" w:ascii="仿宋_GB2312" w:hAnsi="仿宋_GB2312" w:eastAsia="仿宋_GB2312" w:cs="仿宋_GB2312"/>
          <w:color w:val="000000"/>
          <w:sz w:val="24"/>
          <w:szCs w:val="24"/>
        </w:rPr>
        <w:t>GB/T 42430《信息安全技术 人脸识别数据安全要求》</w:t>
      </w:r>
    </w:p>
    <w:p w14:paraId="7BF3B363">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11.</w:t>
      </w:r>
      <w:r>
        <w:rPr>
          <w:rFonts w:hint="eastAsia" w:ascii="仿宋_GB2312" w:hAnsi="仿宋_GB2312" w:eastAsia="仿宋_GB2312" w:cs="仿宋_GB2312"/>
          <w:color w:val="000000"/>
          <w:sz w:val="24"/>
          <w:szCs w:val="24"/>
        </w:rPr>
        <w:t>国家网信部门关于人脸识别技术应用备案相关工作指引及地方监管配套要求。</w:t>
      </w:r>
    </w:p>
    <w:p w14:paraId="006376D0">
      <w:pPr>
        <w:pStyle w:val="2"/>
        <w:bidi w:val="0"/>
        <w:rPr>
          <w:rFonts w:hint="eastAsia"/>
        </w:rPr>
      </w:pPr>
      <w:r>
        <w:rPr>
          <w:rFonts w:hint="eastAsia"/>
        </w:rPr>
        <w:t>三、总体技术要求</w:t>
      </w:r>
    </w:p>
    <w:p w14:paraId="6A285DBB">
      <w:pPr>
        <w:pStyle w:val="3"/>
        <w:bidi w:val="0"/>
        <w:rPr>
          <w:rFonts w:hint="eastAsia"/>
        </w:rPr>
      </w:pPr>
      <w:r>
        <w:rPr>
          <w:rFonts w:hint="eastAsia"/>
        </w:rPr>
        <w:t>（一）工作原则</w:t>
      </w:r>
    </w:p>
    <w:p w14:paraId="4C34363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1.</w:t>
      </w:r>
      <w:r>
        <w:rPr>
          <w:rStyle w:val="12"/>
          <w:rFonts w:hint="eastAsia" w:ascii="仿宋_GB2312" w:hAnsi="仿宋_GB2312" w:eastAsia="仿宋_GB2312" w:cs="仿宋_GB2312"/>
          <w:color w:val="000000"/>
          <w:sz w:val="24"/>
          <w:szCs w:val="24"/>
        </w:rPr>
        <w:t>客观独立原则</w:t>
      </w:r>
      <w:r>
        <w:rPr>
          <w:rFonts w:hint="eastAsia" w:ascii="仿宋_GB2312" w:hAnsi="仿宋_GB2312" w:eastAsia="仿宋_GB2312" w:cs="仿宋_GB2312"/>
          <w:color w:val="000000"/>
          <w:sz w:val="24"/>
          <w:szCs w:val="24"/>
        </w:rPr>
        <w:t>：服务商独立开展评估工作，评估过程、结论真实公正，不受任何第三方干预，如实记录系统现状、安全隐患与合规缺陷。</w:t>
      </w:r>
    </w:p>
    <w:p w14:paraId="68C33E02">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2.</w:t>
      </w:r>
      <w:r>
        <w:rPr>
          <w:rStyle w:val="12"/>
          <w:rFonts w:hint="eastAsia" w:ascii="仿宋_GB2312" w:hAnsi="仿宋_GB2312" w:eastAsia="仿宋_GB2312" w:cs="仿宋_GB2312"/>
          <w:color w:val="000000"/>
          <w:sz w:val="24"/>
          <w:szCs w:val="24"/>
        </w:rPr>
        <w:t>最小必要原则</w:t>
      </w:r>
      <w:r>
        <w:rPr>
          <w:rFonts w:hint="eastAsia" w:ascii="仿宋_GB2312" w:hAnsi="仿宋_GB2312" w:eastAsia="仿宋_GB2312" w:cs="仿宋_GB2312"/>
          <w:color w:val="000000"/>
          <w:sz w:val="24"/>
          <w:szCs w:val="24"/>
        </w:rPr>
        <w:t>：围绕人脸敏感信息全生命周期开展核查，严格遵循个人信息处理 “合法、正当、必要” 基本原则开展合规研判。</w:t>
      </w:r>
    </w:p>
    <w:p w14:paraId="20C86971">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3.</w:t>
      </w:r>
      <w:r>
        <w:rPr>
          <w:rStyle w:val="12"/>
          <w:rFonts w:hint="eastAsia" w:ascii="仿宋_GB2312" w:hAnsi="仿宋_GB2312" w:eastAsia="仿宋_GB2312" w:cs="仿宋_GB2312"/>
          <w:color w:val="000000"/>
          <w:sz w:val="24"/>
          <w:szCs w:val="24"/>
        </w:rPr>
        <w:t>风险导向原则</w:t>
      </w:r>
      <w:r>
        <w:rPr>
          <w:rFonts w:hint="eastAsia" w:ascii="仿宋_GB2312" w:hAnsi="仿宋_GB2312" w:eastAsia="仿宋_GB2312" w:cs="仿宋_GB2312"/>
          <w:color w:val="000000"/>
          <w:sz w:val="24"/>
          <w:szCs w:val="24"/>
        </w:rPr>
        <w:t>：重点识别人脸信息泄露、篡改、非法访问、过度采集、违规共享等高风险场景，区分风险等级，提出可落地整改措施。</w:t>
      </w:r>
    </w:p>
    <w:p w14:paraId="1D38311A">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4.</w:t>
      </w:r>
      <w:r>
        <w:rPr>
          <w:rStyle w:val="12"/>
          <w:rFonts w:hint="eastAsia" w:ascii="仿宋_GB2312" w:hAnsi="仿宋_GB2312" w:eastAsia="仿宋_GB2312" w:cs="仿宋_GB2312"/>
          <w:color w:val="000000"/>
          <w:sz w:val="24"/>
          <w:szCs w:val="24"/>
        </w:rPr>
        <w:t>合规落地原则</w:t>
      </w:r>
      <w:r>
        <w:rPr>
          <w:rFonts w:hint="eastAsia" w:ascii="仿宋_GB2312" w:hAnsi="仿宋_GB2312" w:eastAsia="仿宋_GB2312" w:cs="仿宋_GB2312"/>
          <w:color w:val="000000"/>
          <w:sz w:val="24"/>
          <w:szCs w:val="24"/>
        </w:rPr>
        <w:t>：所有评估成果、备案材料满足监管备案材料标准，能够直接用于人脸识别技术应用备案申报。</w:t>
      </w:r>
    </w:p>
    <w:p w14:paraId="1D448B6B">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2"/>
          <w:sz w:val="24"/>
          <w:szCs w:val="24"/>
          <w:lang w:val="en-US" w:eastAsia="zh-CN" w:bidi="ar-SA"/>
        </w:rPr>
        <w:t>5.</w:t>
      </w:r>
      <w:r>
        <w:rPr>
          <w:rStyle w:val="12"/>
          <w:rFonts w:hint="eastAsia" w:ascii="仿宋_GB2312" w:hAnsi="仿宋_GB2312" w:eastAsia="仿宋_GB2312" w:cs="仿宋_GB2312"/>
          <w:color w:val="000000"/>
          <w:sz w:val="24"/>
          <w:szCs w:val="24"/>
        </w:rPr>
        <w:t>保密原则</w:t>
      </w:r>
      <w:r>
        <w:rPr>
          <w:rFonts w:hint="eastAsia" w:ascii="仿宋_GB2312" w:hAnsi="仿宋_GB2312" w:eastAsia="仿宋_GB2312" w:cs="仿宋_GB2312"/>
          <w:color w:val="000000"/>
          <w:sz w:val="24"/>
          <w:szCs w:val="24"/>
        </w:rPr>
        <w:t>：服务商对项目实施过程中获取的站点运营资料、人脸系统技术资料、业务数据严格保密，签署保密协议，项目资料不得外泄，项目结束后按要求清理全部副本资料。</w:t>
      </w:r>
    </w:p>
    <w:p w14:paraId="7E4CBD87">
      <w:pPr>
        <w:pStyle w:val="3"/>
        <w:bidi w:val="0"/>
        <w:rPr>
          <w:rFonts w:hint="eastAsia"/>
        </w:rPr>
      </w:pPr>
      <w:r>
        <w:rPr>
          <w:rFonts w:hint="eastAsia"/>
        </w:rPr>
        <w:t>（二）服务周期要求</w:t>
      </w:r>
    </w:p>
    <w:p w14:paraId="207F35C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cs="仿宋_GB2312"/>
          <w:color w:val="0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合同签订后</w:t>
      </w:r>
      <w:r>
        <w:rPr>
          <w:rStyle w:val="12"/>
          <w:rFonts w:hint="eastAsia" w:cs="仿宋_GB2312"/>
          <w:color w:val="000000"/>
          <w:kern w:val="0"/>
          <w:sz w:val="24"/>
          <w:szCs w:val="24"/>
          <w:lang w:val="en-US" w:eastAsia="zh-CN" w:bidi="ar"/>
        </w:rPr>
        <w:t>20个工作</w:t>
      </w:r>
      <w:r>
        <w:rPr>
          <w:rStyle w:val="12"/>
          <w:rFonts w:hint="eastAsia" w:ascii="仿宋_GB2312" w:hAnsi="仿宋_GB2312" w:eastAsia="仿宋_GB2312" w:cs="仿宋_GB2312"/>
          <w:color w:val="000000"/>
          <w:kern w:val="0"/>
          <w:sz w:val="24"/>
          <w:szCs w:val="24"/>
          <w:lang w:val="en-US" w:eastAsia="zh-CN" w:bidi="ar"/>
        </w:rPr>
        <w:t>日内</w:t>
      </w:r>
      <w:r>
        <w:rPr>
          <w:rFonts w:hint="eastAsia" w:ascii="仿宋_GB2312" w:hAnsi="仿宋_GB2312" w:eastAsia="仿宋_GB2312" w:cs="仿宋_GB2312"/>
          <w:color w:val="000000"/>
          <w:kern w:val="0"/>
          <w:sz w:val="24"/>
          <w:szCs w:val="24"/>
          <w:lang w:val="en-US" w:eastAsia="zh-CN" w:bidi="ar"/>
        </w:rPr>
        <w:t>完成全部评估工作，交付全套正式评估报告</w:t>
      </w:r>
      <w:r>
        <w:rPr>
          <w:rFonts w:hint="eastAsia" w:cs="仿宋_GB2312"/>
          <w:color w:val="000000"/>
          <w:kern w:val="0"/>
          <w:sz w:val="24"/>
          <w:szCs w:val="24"/>
          <w:lang w:val="en-US" w:eastAsia="zh-CN" w:bidi="ar"/>
        </w:rPr>
        <w:t>和</w:t>
      </w:r>
      <w:r>
        <w:rPr>
          <w:rFonts w:hint="eastAsia" w:ascii="仿宋_GB2312" w:hAnsi="仿宋_GB2312" w:eastAsia="仿宋_GB2312" w:cs="仿宋_GB2312"/>
          <w:color w:val="000000"/>
          <w:kern w:val="0"/>
          <w:sz w:val="24"/>
          <w:szCs w:val="24"/>
          <w:lang w:val="en-US" w:eastAsia="zh-CN" w:bidi="ar"/>
        </w:rPr>
        <w:t>备案材料初稿</w:t>
      </w:r>
      <w:r>
        <w:rPr>
          <w:rFonts w:hint="eastAsia" w:cs="仿宋_GB2312"/>
          <w:color w:val="000000"/>
          <w:kern w:val="0"/>
          <w:sz w:val="24"/>
          <w:szCs w:val="24"/>
          <w:lang w:val="en-US" w:eastAsia="zh-CN" w:bidi="ar"/>
        </w:rPr>
        <w:t>。</w:t>
      </w:r>
      <w:bookmarkStart w:id="0" w:name="_GoBack"/>
      <w:bookmarkEnd w:id="0"/>
    </w:p>
    <w:p w14:paraId="30A25B42">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kern w:val="0"/>
          <w:sz w:val="24"/>
          <w:szCs w:val="24"/>
          <w:lang w:val="en-US" w:eastAsia="zh-CN" w:bidi="ar"/>
        </w:rPr>
        <w:t>根据监管反馈完成材料修改完善，持续提供备案辅导直至备案材料正式提交。</w:t>
      </w:r>
    </w:p>
    <w:p w14:paraId="60E9E0AD">
      <w:pPr>
        <w:pStyle w:val="2"/>
        <w:bidi w:val="0"/>
        <w:rPr>
          <w:rFonts w:hint="eastAsia" w:eastAsia="宋体"/>
          <w:lang w:eastAsia="zh-CN"/>
        </w:rPr>
      </w:pPr>
      <w:r>
        <w:rPr>
          <w:rFonts w:hint="eastAsia"/>
        </w:rPr>
        <w:t>四、服务内容与技术</w:t>
      </w:r>
      <w:r>
        <w:rPr>
          <w:rFonts w:hint="eastAsia"/>
          <w:lang w:val="en-US" w:eastAsia="zh-CN"/>
        </w:rPr>
        <w:t>要求</w:t>
      </w:r>
    </w:p>
    <w:p w14:paraId="047D567D">
      <w:pPr>
        <w:pStyle w:val="3"/>
        <w:bidi w:val="0"/>
        <w:rPr>
          <w:rFonts w:hint="eastAsia"/>
        </w:rPr>
      </w:pPr>
      <w:r>
        <w:rPr>
          <w:rFonts w:hint="eastAsia"/>
        </w:rPr>
        <w:t>（</w:t>
      </w:r>
      <w:r>
        <w:rPr>
          <w:rFonts w:hint="eastAsia"/>
          <w:lang w:val="en-US" w:eastAsia="zh-CN"/>
        </w:rPr>
        <w:t>一</w:t>
      </w:r>
      <w:r>
        <w:rPr>
          <w:rFonts w:hint="eastAsia"/>
        </w:rPr>
        <w:t>）数据安全风险评估</w:t>
      </w:r>
    </w:p>
    <w:p w14:paraId="6606F174">
      <w:pPr>
        <w:bidi w:val="0"/>
        <w:rPr>
          <w:rFonts w:hint="eastAsia"/>
          <w:lang w:val="en-US" w:eastAsia="zh-CN"/>
        </w:rPr>
      </w:pPr>
      <w:r>
        <w:rPr>
          <w:rFonts w:hint="eastAsia"/>
          <w:lang w:val="en-US" w:eastAsia="zh-CN"/>
        </w:rPr>
        <w:t>依据JT/T 1547-2025《交通运输数据安全风险评估指南》开展全流程交通运输数据安全风险评估：</w:t>
      </w:r>
    </w:p>
    <w:p w14:paraId="35165439">
      <w:pPr>
        <w:bidi w:val="0"/>
        <w:rPr>
          <w:rFonts w:hint="eastAsia"/>
          <w:lang w:val="en-US" w:eastAsia="zh-CN"/>
        </w:rPr>
      </w:pPr>
      <w:r>
        <w:rPr>
          <w:rFonts w:hint="eastAsia"/>
          <w:lang w:val="en-US" w:eastAsia="zh-CN"/>
        </w:rPr>
        <w:t>1.管理层面评估：围绕交通运输行业数据安全管理要求，核查人脸信息相关数据安全管理制度体系、账号与人员权限管控机制、安全审计管理、数据安全事件应急处置预案、常态化安全培训教育、人脸敏感信息安全事件处置流程等制度机制的完整性、适用性与落地执行情况。</w:t>
      </w:r>
    </w:p>
    <w:p w14:paraId="0D2B57C7">
      <w:pPr>
        <w:bidi w:val="0"/>
        <w:rPr>
          <w:rFonts w:hint="eastAsia"/>
          <w:lang w:val="en-US" w:eastAsia="zh-CN"/>
        </w:rPr>
      </w:pPr>
      <w:r>
        <w:rPr>
          <w:rFonts w:hint="eastAsia"/>
          <w:lang w:val="en-US" w:eastAsia="zh-CN"/>
        </w:rPr>
        <w:t>2.技术层面评估：针对本系统，核查人脸数据采集、传输加密、持久化存储加密、细粒度访问控制、操作日志留存与审计、网络入侵防范、数据备份与恢复、人脸特征模板安全保护、临时人脸数据及时清理等安全技术防护措施部署有效性、策略配置合理性。</w:t>
      </w:r>
    </w:p>
    <w:p w14:paraId="5502733A">
      <w:pPr>
        <w:bidi w:val="0"/>
        <w:rPr>
          <w:rFonts w:hint="eastAsia"/>
          <w:lang w:val="en-US" w:eastAsia="zh-CN"/>
        </w:rPr>
      </w:pPr>
      <w:r>
        <w:rPr>
          <w:rFonts w:hint="eastAsia"/>
          <w:lang w:val="en-US" w:eastAsia="zh-CN"/>
        </w:rPr>
        <w:t>3.业务流程层面评估：结合轨道交通客运场景人脸信息全生命周期流程，核查人脸信息采集授权、数据调用、数据导出、信息删除、数据销毁各环节管控流程；重点识别越权数据访问、人脸信息泄露外泄、安全日志留存不足、人脸信息超期限留存等高风险问题。</w:t>
      </w:r>
    </w:p>
    <w:p w14:paraId="55B2C0E6">
      <w:pPr>
        <w:bidi w:val="0"/>
        <w:rPr>
          <w:rFonts w:hint="eastAsia"/>
          <w:lang w:val="en-US" w:eastAsia="zh-CN"/>
        </w:rPr>
      </w:pPr>
      <w:r>
        <w:rPr>
          <w:rFonts w:hint="eastAsia"/>
          <w:lang w:val="en-US" w:eastAsia="zh-CN"/>
        </w:rPr>
        <w:t>4.风险分级研判：遵循 JT/T 1547-2025 规定的风险评估流程与风险分析方法开展风险识别、风险分析与风险评价，按照标准要求划分高、中、低风险等级，编制风险清单，开展风险根源成因分析，结合轨道交通运营实际提出可落地、可实施的风险整改管控方案，最终输出正式《数据安全风险评估报告》。</w:t>
      </w:r>
    </w:p>
    <w:p w14:paraId="48FEF676">
      <w:pPr>
        <w:pStyle w:val="3"/>
        <w:bidi w:val="0"/>
        <w:rPr>
          <w:rFonts w:hint="eastAsia"/>
        </w:rPr>
      </w:pPr>
      <w:r>
        <w:rPr>
          <w:rFonts w:hint="eastAsia"/>
        </w:rPr>
        <w:t>（</w:t>
      </w:r>
      <w:r>
        <w:rPr>
          <w:rFonts w:hint="eastAsia"/>
          <w:lang w:val="en-US" w:eastAsia="zh-CN"/>
        </w:rPr>
        <w:t>二</w:t>
      </w:r>
      <w:r>
        <w:rPr>
          <w:rFonts w:hint="eastAsia"/>
        </w:rPr>
        <w:t>）个人信息保护影响评估</w:t>
      </w:r>
    </w:p>
    <w:p w14:paraId="011EB51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仿宋_GB2312" w:hAnsi="仿宋_GB2312" w:eastAsia="仿宋_GB2312" w:cs="仿宋_GB2312"/>
          <w:color w:val="C00000"/>
          <w:kern w:val="0"/>
          <w:sz w:val="24"/>
          <w:szCs w:val="24"/>
          <w:lang w:val="en-US" w:eastAsia="zh-CN" w:bidi="ar"/>
        </w:rPr>
      </w:pPr>
      <w:r>
        <w:rPr>
          <w:rFonts w:hint="eastAsia" w:ascii="仿宋_GB2312" w:hAnsi="仿宋_GB2312" w:eastAsia="仿宋_GB2312" w:cs="仿宋_GB2312"/>
          <w:color w:val="000000"/>
          <w:kern w:val="0"/>
          <w:sz w:val="24"/>
          <w:szCs w:val="24"/>
          <w:lang w:val="en-US" w:eastAsia="zh-CN" w:bidi="ar"/>
        </w:rPr>
        <w:t>依据 GB∕T 35273-2020 《信息安全技术 个人信息安全规范》</w:t>
      </w:r>
      <w:r>
        <w:rPr>
          <w:rFonts w:hint="eastAsia" w:ascii="仿宋_GB2312" w:hAnsi="仿宋_GB2312" w:eastAsia="仿宋_GB2312" w:cs="仿宋_GB2312"/>
          <w:color w:val="C00000"/>
          <w:kern w:val="0"/>
          <w:sz w:val="24"/>
          <w:szCs w:val="24"/>
          <w:lang w:val="en-US" w:eastAsia="zh-CN" w:bidi="ar"/>
        </w:rPr>
        <w:t>针对被评系统开展个人信息保护影响评估，覆盖单程票、扫码乘车、人脸识别乘车等全票务业务场景，聚焦系统采集、存储、传输、使用的乘客身份信息、乘车时间、出行站点、交易流水、支付信息等各类个人信息及敏感数据。</w:t>
      </w:r>
    </w:p>
    <w:p w14:paraId="1850F55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jc w:val="left"/>
        <w:rPr>
          <w:rFonts w:hint="eastAsia" w:ascii="仿宋_GB2312" w:hAnsi="仿宋_GB2312" w:eastAsia="仿宋_GB2312" w:cs="仿宋_GB2312"/>
          <w:color w:val="000000"/>
          <w:kern w:val="0"/>
          <w:sz w:val="24"/>
          <w:szCs w:val="24"/>
          <w:lang w:val="en-US" w:eastAsia="zh-CN" w:bidi="ar"/>
        </w:rPr>
      </w:pPr>
      <w:r>
        <w:rPr>
          <w:rFonts w:hint="eastAsia" w:ascii="仿宋_GB2312" w:hAnsi="仿宋_GB2312" w:eastAsia="仿宋_GB2312" w:cs="仿宋_GB2312"/>
          <w:color w:val="C00000"/>
          <w:kern w:val="0"/>
          <w:sz w:val="24"/>
          <w:szCs w:val="24"/>
          <w:lang w:val="en-US" w:eastAsia="zh-CN" w:bidi="ar"/>
        </w:rPr>
        <w:t>评估重点核查</w:t>
      </w:r>
      <w:r>
        <w:rPr>
          <w:rFonts w:hint="eastAsia" w:cs="仿宋_GB2312"/>
          <w:color w:val="C00000"/>
          <w:kern w:val="0"/>
          <w:sz w:val="24"/>
          <w:szCs w:val="24"/>
          <w:lang w:val="en-US" w:eastAsia="zh-CN" w:bidi="ar"/>
        </w:rPr>
        <w:t>本</w:t>
      </w:r>
      <w:r>
        <w:rPr>
          <w:rFonts w:hint="eastAsia" w:ascii="仿宋_GB2312" w:hAnsi="仿宋_GB2312" w:eastAsia="仿宋_GB2312" w:cs="仿宋_GB2312"/>
          <w:color w:val="C00000"/>
          <w:kern w:val="0"/>
          <w:sz w:val="24"/>
          <w:szCs w:val="24"/>
          <w:lang w:val="en-US" w:eastAsia="zh-CN" w:bidi="ar"/>
        </w:rPr>
        <w:t>系统个人信息处理活动的合规性：</w:t>
      </w:r>
    </w:p>
    <w:p w14:paraId="0CB91CA5">
      <w:pPr>
        <w:bidi w:val="0"/>
        <w:rPr>
          <w:rFonts w:hint="eastAsia"/>
          <w:lang w:val="en-US" w:eastAsia="zh-CN"/>
        </w:rPr>
      </w:pPr>
      <w:r>
        <w:rPr>
          <w:rFonts w:hint="eastAsia"/>
          <w:lang w:val="en-US" w:eastAsia="zh-CN"/>
        </w:rPr>
        <w:t>一是核查数据收集合法性，确认系统采集乘客信息具备合法依据，遵循最小必要原则，无超范围、过度采集行为，明确告知用户信息使用规则与留存期限；</w:t>
      </w:r>
    </w:p>
    <w:p w14:paraId="5FCC65AB">
      <w:pPr>
        <w:bidi w:val="0"/>
        <w:rPr>
          <w:rFonts w:hint="eastAsia"/>
          <w:lang w:val="en-US" w:eastAsia="zh-CN"/>
        </w:rPr>
      </w:pPr>
      <w:r>
        <w:rPr>
          <w:rFonts w:hint="eastAsia"/>
          <w:lang w:val="en-US" w:eastAsia="zh-CN"/>
        </w:rPr>
        <w:t>二是核查数据存储与防护安全，检查数据库乘客个人信息的加密存储、脱敏处理、备份防护、过期清理机制，排查数据超期留存、裸数据存储、防护缺失等问题；</w:t>
      </w:r>
    </w:p>
    <w:p w14:paraId="6AB2D163">
      <w:pPr>
        <w:bidi w:val="0"/>
        <w:rPr>
          <w:rFonts w:hint="eastAsia"/>
          <w:lang w:val="en-US" w:eastAsia="zh-CN"/>
        </w:rPr>
      </w:pPr>
      <w:r>
        <w:rPr>
          <w:rFonts w:hint="eastAsia"/>
          <w:lang w:val="en-US" w:eastAsia="zh-CN"/>
        </w:rPr>
        <w:t>三是核查数据使用与流转合规性，审核系统内部数据调用、跨模块数据共享、运维数据调取的权限管控与审批流程，杜绝非法调用、违规共享乘客个人信息；</w:t>
      </w:r>
    </w:p>
    <w:p w14:paraId="320CF7CD">
      <w:pPr>
        <w:bidi w:val="0"/>
        <w:rPr>
          <w:rFonts w:hint="eastAsia"/>
          <w:lang w:val="en-US" w:eastAsia="zh-CN"/>
        </w:rPr>
      </w:pPr>
      <w:r>
        <w:rPr>
          <w:rFonts w:hint="eastAsia"/>
          <w:lang w:val="en-US" w:eastAsia="zh-CN"/>
        </w:rPr>
        <w:t>四是核查个人权益保障机制，核验乘客查询出行记录、交易信息、删除留存信息、注销相关数据的操作渠道与响应流程是否完善；</w:t>
      </w:r>
    </w:p>
    <w:p w14:paraId="0C3149B5">
      <w:pPr>
        <w:bidi w:val="0"/>
        <w:rPr>
          <w:rFonts w:hint="eastAsia"/>
          <w:lang w:val="en-US" w:eastAsia="zh-CN"/>
        </w:rPr>
      </w:pPr>
      <w:r>
        <w:rPr>
          <w:rFonts w:hint="eastAsia"/>
          <w:lang w:val="en-US" w:eastAsia="zh-CN"/>
        </w:rPr>
        <w:t>五是研判业务风险与合规风险，分析被评系统个人信息泄露、篡改、丢失、非法流转的风险场景，评估风险影响范围与危害程度，结合相关技术标准要求制定针对性风险缓释、整改优化措施。</w:t>
      </w:r>
    </w:p>
    <w:p w14:paraId="2862FDF1">
      <w:pPr>
        <w:bidi w:val="0"/>
        <w:rPr>
          <w:rFonts w:hint="eastAsia"/>
          <w:lang w:val="en-US" w:eastAsia="zh-CN"/>
        </w:rPr>
      </w:pPr>
      <w:r>
        <w:rPr>
          <w:rFonts w:hint="eastAsia"/>
          <w:lang w:val="en-US" w:eastAsia="zh-CN"/>
        </w:rPr>
        <w:t>最终形成独立完整的《个人信息保护影响评估报告》，完整记录被评系统个人信息处理现状、合规缺陷、风险等级、整改方案，与人脸识别系统评估报告形成整套个人信息合规评估成果，满足行业监管及内部合规管控要求。</w:t>
      </w:r>
    </w:p>
    <w:p w14:paraId="3ED19C4D">
      <w:pPr>
        <w:pStyle w:val="3"/>
        <w:bidi w:val="0"/>
        <w:rPr>
          <w:rFonts w:hint="eastAsia"/>
        </w:rPr>
      </w:pPr>
      <w:r>
        <w:rPr>
          <w:rFonts w:hint="eastAsia"/>
        </w:rPr>
        <w:t>（</w:t>
      </w:r>
      <w:r>
        <w:rPr>
          <w:rFonts w:hint="eastAsia"/>
          <w:lang w:val="en-US" w:eastAsia="zh-CN"/>
        </w:rPr>
        <w:t>三</w:t>
      </w:r>
      <w:r>
        <w:rPr>
          <w:rFonts w:hint="eastAsia"/>
        </w:rPr>
        <w:t>）</w:t>
      </w:r>
      <w:r>
        <w:rPr>
          <w:rFonts w:hint="eastAsia"/>
          <w:lang w:val="en-US" w:eastAsia="zh-CN"/>
        </w:rPr>
        <w:t>目标系统</w:t>
      </w:r>
      <w:r>
        <w:rPr>
          <w:rFonts w:hint="eastAsia"/>
        </w:rPr>
        <w:t>人脸识别技术应用个人信息保护影响评估</w:t>
      </w:r>
    </w:p>
    <w:p w14:paraId="347B9C69">
      <w:pPr>
        <w:bidi w:val="0"/>
        <w:rPr>
          <w:rFonts w:hint="eastAsia"/>
        </w:rPr>
      </w:pPr>
      <w:r>
        <w:rPr>
          <w:rFonts w:hint="eastAsia"/>
          <w:lang w:val="en-US" w:eastAsia="zh-CN"/>
        </w:rPr>
        <w:t>严格按照《人脸识别技术应用安全管理办法》规定开展个人信息保护影响评估，重点核查：人脸信息处理目的与方式合法性、必要性；是否存在强制刷脸、未提供替代核验方式；告知与单独同意机制落实情况；人脸信息保存期限是否最短必要；人脸信息泄露可能造成的权益损害；现有安全保护措施与风险是否匹配；个人查阅、删除人脸信息、撤回授权渠道是否畅通。 评估报告需完整满足人脸识别备案申报材料要求，规范载明评估基础信息、处理活动说明、风险分析、负面影响缓释措施、综合评估结论，报告有效期满足监管要求，输出正式《个人信息保护影响评估报告(</w:t>
      </w:r>
      <w:r>
        <w:rPr>
          <w:rFonts w:hint="eastAsia"/>
        </w:rPr>
        <w:t>人脸识别技术应用</w:t>
      </w:r>
      <w:r>
        <w:rPr>
          <w:rFonts w:hint="eastAsia"/>
          <w:lang w:val="en-US" w:eastAsia="zh-CN"/>
        </w:rPr>
        <w:t>备案）》。</w:t>
      </w:r>
    </w:p>
    <w:p w14:paraId="0A703A34">
      <w:pPr>
        <w:pStyle w:val="3"/>
        <w:bidi w:val="0"/>
        <w:rPr>
          <w:rFonts w:hint="default"/>
          <w:lang w:val="en-US" w:eastAsia="zh-CN"/>
        </w:rPr>
      </w:pPr>
      <w:r>
        <w:rPr>
          <w:rFonts w:hint="eastAsia"/>
        </w:rPr>
        <w:t>（</w:t>
      </w:r>
      <w:r>
        <w:rPr>
          <w:rFonts w:hint="eastAsia"/>
          <w:lang w:val="en-US" w:eastAsia="zh-CN"/>
        </w:rPr>
        <w:t>四</w:t>
      </w:r>
      <w:r>
        <w:rPr>
          <w:rFonts w:hint="eastAsia"/>
        </w:rPr>
        <w:t>）人脸识别技术应用备案材料编制</w:t>
      </w:r>
      <w:r>
        <w:rPr>
          <w:rFonts w:hint="eastAsia"/>
          <w:lang w:val="en-US" w:eastAsia="zh-CN"/>
        </w:rPr>
        <w:t>和辅助备案服务</w:t>
      </w:r>
    </w:p>
    <w:p w14:paraId="112B6338">
      <w:pPr>
        <w:bidi w:val="0"/>
        <w:rPr>
          <w:rFonts w:hint="default"/>
          <w:lang w:val="en-US" w:eastAsia="zh-CN"/>
        </w:rPr>
      </w:pPr>
      <w:r>
        <w:rPr>
          <w:rFonts w:hint="eastAsia"/>
          <w:lang w:val="en-US" w:eastAsia="zh-CN"/>
        </w:rPr>
        <w:t>按照国家网信办《关于开展人脸识别技术应用备案工作的公告》的文件精神，协助采购人完成人脸识别技术应用备案工作。</w:t>
      </w:r>
    </w:p>
    <w:p w14:paraId="3AC3EFE3">
      <w:pPr>
        <w:bidi w:val="0"/>
        <w:rPr>
          <w:rFonts w:hint="eastAsia"/>
        </w:rPr>
      </w:pPr>
      <w:r>
        <w:rPr>
          <w:rFonts w:hint="eastAsia"/>
          <w:lang w:val="en-US" w:eastAsia="zh-CN"/>
        </w:rPr>
        <w:t>1.</w:t>
      </w:r>
      <w:r>
        <w:rPr>
          <w:rFonts w:hint="eastAsia"/>
        </w:rPr>
        <w:t>对照人脸识别备案申报材料清单开展专项符合性评估，排查备案所需资料缺口；</w:t>
      </w:r>
    </w:p>
    <w:p w14:paraId="60E52470">
      <w:pPr>
        <w:bidi w:val="0"/>
        <w:rPr>
          <w:rFonts w:hint="eastAsia"/>
        </w:rPr>
      </w:pPr>
      <w:r>
        <w:rPr>
          <w:rFonts w:hint="eastAsia"/>
          <w:lang w:val="en-US" w:eastAsia="zh-CN"/>
        </w:rPr>
        <w:t>2.</w:t>
      </w:r>
      <w:r>
        <w:rPr>
          <w:rFonts w:hint="eastAsia"/>
        </w:rPr>
        <w:t>协助采购人整理备案主体资料、系统技术方案、人脸信息处理规则、安全防护方案；</w:t>
      </w:r>
    </w:p>
    <w:p w14:paraId="02C99A0D">
      <w:pPr>
        <w:bidi w:val="0"/>
        <w:rPr>
          <w:rFonts w:hint="eastAsia"/>
        </w:rPr>
      </w:pPr>
      <w:r>
        <w:rPr>
          <w:rFonts w:hint="eastAsia"/>
          <w:lang w:val="en-US" w:eastAsia="zh-CN"/>
        </w:rPr>
        <w:t>3.</w:t>
      </w:r>
      <w:r>
        <w:rPr>
          <w:rFonts w:hint="eastAsia"/>
        </w:rPr>
        <w:t>统一汇总、排版、校对全套备案申报材料，形成标准化申报文档包；</w:t>
      </w:r>
    </w:p>
    <w:p w14:paraId="744A96B9">
      <w:pPr>
        <w:bidi w:val="0"/>
        <w:rPr>
          <w:rFonts w:hint="eastAsia"/>
        </w:rPr>
      </w:pPr>
      <w:r>
        <w:rPr>
          <w:rFonts w:hint="eastAsia"/>
          <w:lang w:val="en-US" w:eastAsia="zh-CN"/>
        </w:rPr>
        <w:t>4.</w:t>
      </w:r>
      <w:r>
        <w:rPr>
          <w:rFonts w:hint="eastAsia"/>
        </w:rPr>
        <w:t>梳理备案线上填报信息清单，指导采购人完成系统信息填报；</w:t>
      </w:r>
    </w:p>
    <w:p w14:paraId="510E60D4">
      <w:pPr>
        <w:bidi w:val="0"/>
        <w:rPr>
          <w:rFonts w:hint="eastAsia"/>
        </w:rPr>
      </w:pPr>
      <w:r>
        <w:rPr>
          <w:rFonts w:hint="eastAsia"/>
          <w:lang w:val="en-US" w:eastAsia="zh-CN"/>
        </w:rPr>
        <w:t>5.</w:t>
      </w:r>
      <w:r>
        <w:rPr>
          <w:rFonts w:hint="eastAsia"/>
        </w:rPr>
        <w:t>提供备案全流程咨询辅导，针对监管部门可能提出的问询准备应答口径；若监管提出材料修改意见，免费完成材料迭代优化。</w:t>
      </w:r>
    </w:p>
    <w:p w14:paraId="7634CFD2">
      <w:pPr>
        <w:pStyle w:val="3"/>
        <w:bidi w:val="0"/>
        <w:rPr>
          <w:rFonts w:hint="eastAsia"/>
        </w:rPr>
      </w:pPr>
      <w:r>
        <w:rPr>
          <w:rFonts w:hint="eastAsia"/>
        </w:rPr>
        <w:t>（五）整改支撑服务</w:t>
      </w:r>
    </w:p>
    <w:p w14:paraId="0F4DC221">
      <w:pPr>
        <w:bidi w:val="0"/>
      </w:pPr>
      <w:r>
        <w:rPr>
          <w:rFonts w:hint="eastAsia"/>
          <w:lang w:val="en-US" w:eastAsia="zh-CN"/>
        </w:rPr>
        <w:t>针对评估发现的合规问题与安全风险，提供整改技术咨询，协助采购人制定整改方案和计划；对整改完成项开展复核，验证整改有效性；形成问题整改复核记录，支撑后续监管核查。</w:t>
      </w:r>
    </w:p>
    <w:p w14:paraId="0F2AE6B1">
      <w:pPr>
        <w:pStyle w:val="2"/>
        <w:bidi w:val="0"/>
        <w:rPr>
          <w:rFonts w:hint="eastAsia"/>
        </w:rPr>
      </w:pPr>
      <w:r>
        <w:rPr>
          <w:rFonts w:hint="eastAsia"/>
        </w:rPr>
        <w:t>五、交付成果要求</w:t>
      </w:r>
    </w:p>
    <w:p w14:paraId="01F96243">
      <w:pPr>
        <w:bidi w:val="0"/>
        <w:rPr>
          <w:rFonts w:hint="eastAsia"/>
        </w:rPr>
      </w:pPr>
      <w:r>
        <w:rPr>
          <w:rFonts w:hint="eastAsia"/>
          <w:lang w:val="en-US" w:eastAsia="zh-CN"/>
        </w:rPr>
        <w:t>服务商须交付以下加盖服务商公章的正式纸质文件（一式两份）及可编辑电子版：</w:t>
      </w:r>
    </w:p>
    <w:p w14:paraId="78DA0EC1">
      <w:pPr>
        <w:bidi w:val="0"/>
        <w:rPr>
          <w:rFonts w:hint="eastAsia"/>
        </w:rPr>
      </w:pPr>
      <w:r>
        <w:rPr>
          <w:rFonts w:hint="eastAsia"/>
          <w:lang w:val="en-US" w:eastAsia="zh-CN"/>
        </w:rPr>
        <w:t>1.</w:t>
      </w:r>
      <w:r>
        <w:rPr>
          <w:rFonts w:hint="eastAsia"/>
        </w:rPr>
        <w:t>《数据安全风险评估报告》</w:t>
      </w:r>
    </w:p>
    <w:p w14:paraId="4C248E6A">
      <w:pPr>
        <w:bidi w:val="0"/>
        <w:rPr>
          <w:rFonts w:hint="eastAsia"/>
        </w:rPr>
      </w:pPr>
      <w:r>
        <w:rPr>
          <w:rFonts w:hint="eastAsia"/>
          <w:lang w:val="en-US" w:eastAsia="zh-CN"/>
        </w:rPr>
        <w:t>2.</w:t>
      </w:r>
      <w:r>
        <w:rPr>
          <w:rFonts w:hint="eastAsia"/>
        </w:rPr>
        <w:t>《个人信息保护影响评估报告》</w:t>
      </w:r>
    </w:p>
    <w:p w14:paraId="3DF4D516">
      <w:pPr>
        <w:bidi w:val="0"/>
        <w:rPr>
          <w:rFonts w:hint="eastAsia"/>
        </w:rPr>
      </w:pPr>
      <w:r>
        <w:rPr>
          <w:rFonts w:hint="eastAsia"/>
          <w:lang w:val="en-US" w:eastAsia="zh-CN"/>
        </w:rPr>
        <w:t>3.</w:t>
      </w:r>
      <w:r>
        <w:rPr>
          <w:rFonts w:hint="eastAsia"/>
        </w:rPr>
        <w:t>《个人信息保护影响评估报告</w:t>
      </w:r>
      <w:r>
        <w:rPr>
          <w:rFonts w:hint="eastAsia"/>
          <w:lang w:eastAsia="zh-CN"/>
        </w:rPr>
        <w:t>（</w:t>
      </w:r>
      <w:r>
        <w:rPr>
          <w:rFonts w:hint="eastAsia"/>
        </w:rPr>
        <w:t>人脸识别技术应用</w:t>
      </w:r>
      <w:r>
        <w:rPr>
          <w:rFonts w:hint="eastAsia"/>
          <w:lang w:val="en-US" w:eastAsia="zh-CN"/>
        </w:rPr>
        <w:t>备案）</w:t>
      </w:r>
      <w:r>
        <w:rPr>
          <w:rFonts w:hint="eastAsia"/>
        </w:rPr>
        <w:t>》</w:t>
      </w:r>
    </w:p>
    <w:p w14:paraId="7F738BDD">
      <w:pPr>
        <w:bidi w:val="0"/>
        <w:rPr>
          <w:rFonts w:hint="eastAsia"/>
        </w:rPr>
      </w:pPr>
      <w:r>
        <w:rPr>
          <w:rFonts w:hint="eastAsia"/>
          <w:lang w:val="en-US" w:eastAsia="zh-CN"/>
        </w:rPr>
        <w:t>4.</w:t>
      </w:r>
      <w:r>
        <w:rPr>
          <w:rFonts w:hint="eastAsia"/>
        </w:rPr>
        <w:t>全套人脸识别备案申报材料汇编（线上填报模板、附件文档合集）</w:t>
      </w:r>
    </w:p>
    <w:p w14:paraId="5DA6F0D0">
      <w:pPr>
        <w:bidi w:val="0"/>
        <w:rPr>
          <w:rFonts w:hint="eastAsia"/>
        </w:rPr>
      </w:pPr>
      <w:r>
        <w:rPr>
          <w:rFonts w:hint="eastAsia"/>
          <w:lang w:val="en-US" w:eastAsia="zh-CN"/>
        </w:rPr>
        <w:t>所有报告结构完整、论据充分、格式规范，内容符合网信部门人脸识别备案材料规范，要求不存在重大缺项，并可直接用于备案提交。</w:t>
      </w:r>
    </w:p>
    <w:p w14:paraId="635CC18D">
      <w:pPr>
        <w:pStyle w:val="2"/>
        <w:bidi w:val="0"/>
        <w:rPr>
          <w:rFonts w:hint="eastAsia"/>
        </w:rPr>
      </w:pPr>
      <w:r>
        <w:rPr>
          <w:rFonts w:hint="eastAsia"/>
        </w:rPr>
        <w:t>六、服务商人员与能力要求</w:t>
      </w:r>
    </w:p>
    <w:p w14:paraId="5A35E58E">
      <w:pPr>
        <w:bidi w:val="0"/>
        <w:rPr>
          <w:rFonts w:hint="eastAsia"/>
        </w:rPr>
      </w:pPr>
      <w:r>
        <w:rPr>
          <w:rFonts w:hint="eastAsia"/>
          <w:lang w:val="en-US" w:eastAsia="zh-CN"/>
        </w:rPr>
        <w:t>1.</w:t>
      </w:r>
      <w:r>
        <w:rPr>
          <w:rFonts w:hint="eastAsia"/>
        </w:rPr>
        <w:t>项目团队配置项目负责人 1 名、数据安全评估工程师不少于 2 名、个人信息保护合规专家不少于 1 名，项目人员不得随意更换；</w:t>
      </w:r>
    </w:p>
    <w:p w14:paraId="6A2E7873">
      <w:pPr>
        <w:bidi w:val="0"/>
        <w:rPr>
          <w:rFonts w:hint="eastAsia"/>
        </w:rPr>
      </w:pPr>
      <w:r>
        <w:rPr>
          <w:rFonts w:hint="eastAsia"/>
          <w:lang w:val="en-US" w:eastAsia="zh-CN"/>
        </w:rPr>
        <w:t>2.</w:t>
      </w:r>
      <w:r>
        <w:rPr>
          <w:rFonts w:hint="eastAsia"/>
        </w:rPr>
        <w:t>核心技术人员具备</w:t>
      </w:r>
      <w:r>
        <w:rPr>
          <w:rFonts w:hint="eastAsia"/>
          <w:lang w:val="en-US" w:eastAsia="zh-CN"/>
        </w:rPr>
        <w:t>数据安全治理、评估、个人信息保护专业评估、审计人员</w:t>
      </w:r>
      <w:r>
        <w:rPr>
          <w:rFonts w:hint="eastAsia"/>
        </w:rPr>
        <w:t>等相关有效资质；</w:t>
      </w:r>
    </w:p>
    <w:p w14:paraId="4E838CAC">
      <w:pPr>
        <w:bidi w:val="0"/>
        <w:rPr>
          <w:rFonts w:hint="eastAsia"/>
        </w:rPr>
      </w:pPr>
      <w:r>
        <w:rPr>
          <w:rFonts w:hint="eastAsia"/>
          <w:lang w:val="en-US" w:eastAsia="zh-CN"/>
        </w:rPr>
        <w:t>3.</w:t>
      </w:r>
      <w:r>
        <w:rPr>
          <w:rFonts w:hint="eastAsia"/>
        </w:rPr>
        <w:t>服务商近三年具备</w:t>
      </w:r>
      <w:r>
        <w:rPr>
          <w:rFonts w:hint="eastAsia"/>
          <w:lang w:val="en-US" w:eastAsia="zh-CN"/>
        </w:rPr>
        <w:t>数据安全服务</w:t>
      </w:r>
      <w:r>
        <w:rPr>
          <w:rFonts w:hint="eastAsia"/>
        </w:rPr>
        <w:t>项目业绩；</w:t>
      </w:r>
    </w:p>
    <w:p w14:paraId="450E86BB">
      <w:pPr>
        <w:bidi w:val="0"/>
        <w:rPr>
          <w:rFonts w:hint="eastAsia"/>
        </w:rPr>
      </w:pPr>
      <w:r>
        <w:rPr>
          <w:rFonts w:hint="eastAsia"/>
          <w:lang w:val="en-US" w:eastAsia="zh-CN"/>
        </w:rPr>
        <w:t>4.</w:t>
      </w:r>
      <w:r>
        <w:rPr>
          <w:rFonts w:hint="eastAsia"/>
        </w:rPr>
        <w:t>服务商具备独立开展数据安全风险评估、个人信息保护影响评估技术能力，拥有标准化评估工具与作业流程。</w:t>
      </w:r>
    </w:p>
    <w:p w14:paraId="3736F3A0">
      <w:pPr>
        <w:pStyle w:val="2"/>
        <w:bidi w:val="0"/>
        <w:rPr>
          <w:rFonts w:hint="eastAsia"/>
        </w:rPr>
      </w:pPr>
      <w:r>
        <w:rPr>
          <w:rFonts w:hint="eastAsia"/>
        </w:rPr>
        <w:t>七、质量保障与验收要求</w:t>
      </w:r>
    </w:p>
    <w:p w14:paraId="385E0956">
      <w:pPr>
        <w:bidi w:val="0"/>
        <w:rPr>
          <w:rFonts w:hint="eastAsia"/>
        </w:rPr>
      </w:pPr>
      <w:r>
        <w:rPr>
          <w:rFonts w:hint="eastAsia"/>
          <w:lang w:val="en-US" w:eastAsia="zh-CN"/>
        </w:rPr>
        <w:t>1.</w:t>
      </w:r>
      <w:r>
        <w:rPr>
          <w:rFonts w:hint="eastAsia"/>
        </w:rPr>
        <w:t>服务商建立项目周例会机制，定期向采购人汇报工作进度、阶段性成果；</w:t>
      </w:r>
    </w:p>
    <w:p w14:paraId="7E6A627D">
      <w:pPr>
        <w:bidi w:val="0"/>
        <w:rPr>
          <w:rFonts w:hint="eastAsia"/>
        </w:rPr>
      </w:pPr>
      <w:r>
        <w:rPr>
          <w:rFonts w:hint="eastAsia"/>
          <w:lang w:val="en-US" w:eastAsia="zh-CN"/>
        </w:rPr>
        <w:t>2.</w:t>
      </w:r>
      <w:r>
        <w:rPr>
          <w:rFonts w:hint="eastAsia"/>
        </w:rPr>
        <w:t>采购人有权对现场调研、资料核查工作全程监督，服务商配合采购人及后续监管单位问询；</w:t>
      </w:r>
    </w:p>
    <w:p w14:paraId="73289695">
      <w:pPr>
        <w:bidi w:val="0"/>
        <w:rPr>
          <w:rFonts w:hint="eastAsia"/>
        </w:rPr>
      </w:pPr>
      <w:r>
        <w:rPr>
          <w:rFonts w:hint="eastAsia"/>
          <w:lang w:val="en-US" w:eastAsia="zh-CN"/>
        </w:rPr>
        <w:t>3.</w:t>
      </w:r>
      <w:r>
        <w:rPr>
          <w:rFonts w:hint="eastAsia"/>
        </w:rPr>
        <w:t>验收标准：全套交付成果完整齐全，报告内容符合现行法律法规及备案材料规范；备案材料通过采购人初审，满足向监管机关提交条件；</w:t>
      </w:r>
    </w:p>
    <w:p w14:paraId="3905E29C">
      <w:pPr>
        <w:bidi w:val="0"/>
        <w:rPr>
          <w:rFonts w:hint="eastAsia"/>
        </w:rPr>
      </w:pPr>
      <w:r>
        <w:rPr>
          <w:rFonts w:hint="eastAsia"/>
          <w:lang w:val="en-US" w:eastAsia="zh-CN"/>
        </w:rPr>
        <w:t>4.</w:t>
      </w:r>
      <w:r>
        <w:rPr>
          <w:rFonts w:hint="eastAsia"/>
        </w:rPr>
        <w:t>自项目验收通过之日起，服务商提供不少于 6 个月免费售后技术咨询，持续解答备案相关合规疑问。</w:t>
      </w:r>
    </w:p>
    <w:p w14:paraId="2772E7FC">
      <w:pPr>
        <w:pStyle w:val="2"/>
        <w:bidi w:val="0"/>
        <w:rPr>
          <w:rFonts w:hint="eastAsia"/>
        </w:rPr>
      </w:pPr>
      <w:r>
        <w:rPr>
          <w:rFonts w:hint="eastAsia"/>
        </w:rPr>
        <w:t>八、其他技术约束</w:t>
      </w:r>
    </w:p>
    <w:p w14:paraId="3F57F3D1">
      <w:pPr>
        <w:bidi w:val="0"/>
        <w:rPr>
          <w:rFonts w:hint="eastAsia"/>
        </w:rPr>
      </w:pPr>
      <w:r>
        <w:rPr>
          <w:rFonts w:hint="eastAsia"/>
          <w:lang w:val="en-US" w:eastAsia="zh-CN"/>
        </w:rPr>
        <w:t>1.</w:t>
      </w:r>
      <w:r>
        <w:rPr>
          <w:rFonts w:hint="eastAsia"/>
        </w:rPr>
        <w:t>服务商开展现场技术核查时，不得干扰</w:t>
      </w:r>
      <w:r>
        <w:rPr>
          <w:rFonts w:hint="eastAsia"/>
          <w:lang w:val="en-US" w:eastAsia="zh-CN"/>
        </w:rPr>
        <w:t>正</w:t>
      </w:r>
      <w:r>
        <w:rPr>
          <w:rFonts w:hint="eastAsia"/>
          <w:lang w:eastAsia="zh-CN"/>
        </w:rPr>
        <w:t>线</w:t>
      </w:r>
      <w:r>
        <w:rPr>
          <w:rFonts w:hint="eastAsia"/>
        </w:rPr>
        <w:t>站点正常运营秩序，不得破坏人脸识别系统正常运行；如需开展技术测试，须提前征得采购人书面许可；</w:t>
      </w:r>
    </w:p>
    <w:p w14:paraId="43FA5C37">
      <w:pPr>
        <w:bidi w:val="0"/>
        <w:rPr>
          <w:rFonts w:hint="eastAsia"/>
        </w:rPr>
      </w:pPr>
      <w:r>
        <w:rPr>
          <w:rFonts w:hint="eastAsia"/>
          <w:lang w:val="en-US" w:eastAsia="zh-CN"/>
        </w:rPr>
        <w:t>2.</w:t>
      </w:r>
      <w:r>
        <w:rPr>
          <w:rFonts w:hint="eastAsia"/>
        </w:rPr>
        <w:t>项目实施全过程严格遵守轨道交通场站管理规定，落实安全生产要求；</w:t>
      </w:r>
    </w:p>
    <w:p w14:paraId="5C5E59A6">
      <w:pPr>
        <w:bidi w:val="0"/>
        <w:rPr>
          <w:rFonts w:hint="eastAsia"/>
        </w:rPr>
      </w:pPr>
      <w:r>
        <w:rPr>
          <w:rFonts w:hint="eastAsia"/>
          <w:lang w:val="en-US" w:eastAsia="zh-CN"/>
        </w:rPr>
        <w:t>3.</w:t>
      </w:r>
      <w:r>
        <w:rPr>
          <w:rFonts w:hint="eastAsia"/>
        </w:rPr>
        <w:t>未经采购人书面允许，服务商不得将本项目全部或部分工作转包、分包给第三方机构；</w:t>
      </w:r>
    </w:p>
    <w:p w14:paraId="3F150818">
      <w:pPr>
        <w:bidi w:val="0"/>
        <w:rPr>
          <w:rFonts w:hint="eastAsia"/>
        </w:rPr>
      </w:pPr>
      <w:r>
        <w:rPr>
          <w:rFonts w:hint="eastAsia"/>
          <w:lang w:val="en-US" w:eastAsia="zh-CN"/>
        </w:rPr>
        <w:t>4.</w:t>
      </w:r>
      <w:r>
        <w:rPr>
          <w:rFonts w:hint="eastAsia"/>
        </w:rPr>
        <w:t>项目所有成果知识产权归属</w:t>
      </w:r>
      <w:r>
        <w:rPr>
          <w:rFonts w:hint="eastAsia"/>
          <w:lang w:val="en-US" w:eastAsia="zh-CN"/>
        </w:rPr>
        <w:t>八维通科技有限</w:t>
      </w:r>
      <w:r>
        <w:rPr>
          <w:rFonts w:hint="eastAsia"/>
          <w:lang w:eastAsia="zh-CN"/>
        </w:rPr>
        <w:t>公司</w:t>
      </w:r>
      <w:r>
        <w:rPr>
          <w:rFonts w:hint="eastAsia"/>
        </w:rPr>
        <w:t>，服务商仅享有署名权，未经采购人许可不得用于其他项目。</w:t>
      </w:r>
    </w:p>
    <w:sectPr>
      <w:footerReference r:id="rId5" w:type="default"/>
      <w:pgSz w:w="11906" w:h="16838"/>
      <w:pgMar w:top="1440" w:right="1800" w:bottom="1440" w:left="1800"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5E5966">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8C548C">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78C548C">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ind w:firstLine="480"/>
      </w:pPr>
      <w:r>
        <w:separator/>
      </w:r>
    </w:p>
  </w:footnote>
  <w:footnote w:type="continuationSeparator" w:id="1">
    <w:p>
      <w:pPr>
        <w:spacing w:before="0" w:after="0" w:line="36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EC11935"/>
    <w:rsid w:val="00667FDF"/>
    <w:rsid w:val="019433DF"/>
    <w:rsid w:val="114C494B"/>
    <w:rsid w:val="12B63B87"/>
    <w:rsid w:val="15903D51"/>
    <w:rsid w:val="15E46F2E"/>
    <w:rsid w:val="1E8F34A3"/>
    <w:rsid w:val="21693CA3"/>
    <w:rsid w:val="217D2559"/>
    <w:rsid w:val="280264C3"/>
    <w:rsid w:val="28291A89"/>
    <w:rsid w:val="2CE52D9B"/>
    <w:rsid w:val="2EC11935"/>
    <w:rsid w:val="2EF53AD4"/>
    <w:rsid w:val="2F7160BD"/>
    <w:rsid w:val="341D288D"/>
    <w:rsid w:val="363D14F8"/>
    <w:rsid w:val="37491B59"/>
    <w:rsid w:val="3CDE2BD2"/>
    <w:rsid w:val="3DEA4F2B"/>
    <w:rsid w:val="404B1A87"/>
    <w:rsid w:val="41F73576"/>
    <w:rsid w:val="42AE7C97"/>
    <w:rsid w:val="432A34D7"/>
    <w:rsid w:val="46D22C21"/>
    <w:rsid w:val="47C33E31"/>
    <w:rsid w:val="49B87060"/>
    <w:rsid w:val="4A391054"/>
    <w:rsid w:val="4C9C1BFB"/>
    <w:rsid w:val="4D7C65CC"/>
    <w:rsid w:val="4EAF576F"/>
    <w:rsid w:val="50A74231"/>
    <w:rsid w:val="5D084455"/>
    <w:rsid w:val="60A36D64"/>
    <w:rsid w:val="6125466F"/>
    <w:rsid w:val="65521AC0"/>
    <w:rsid w:val="668313EA"/>
    <w:rsid w:val="67AF0FD9"/>
    <w:rsid w:val="714A0AEE"/>
    <w:rsid w:val="71F75FA8"/>
    <w:rsid w:val="73CE0493"/>
    <w:rsid w:val="75A760AB"/>
    <w:rsid w:val="780423D9"/>
    <w:rsid w:val="7FF151B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leftChars="0" w:right="0" w:rightChars="0" w:firstLine="480" w:firstLineChars="200"/>
      <w:jc w:val="left"/>
    </w:pPr>
    <w:rPr>
      <w:rFonts w:ascii="仿宋_GB2312" w:hAnsi="仿宋_GB2312" w:eastAsia="仿宋_GB2312" w:cs="仿宋_GB2312"/>
      <w:color w:val="000000"/>
      <w:kern w:val="2"/>
      <w:sz w:val="24"/>
      <w:szCs w:val="24"/>
      <w:lang w:val="en-US" w:eastAsia="zh-CN" w:bidi="ar-SA"/>
    </w:rPr>
  </w:style>
  <w:style w:type="paragraph" w:styleId="2">
    <w:name w:val="heading 1"/>
    <w:basedOn w:val="1"/>
    <w:next w:val="1"/>
    <w:qFormat/>
    <w:uiPriority w:val="0"/>
    <w:pPr>
      <w:ind w:firstLine="0" w:firstLineChars="0"/>
      <w:jc w:val="left"/>
      <w:outlineLvl w:val="0"/>
    </w:pPr>
    <w:rPr>
      <w:rFonts w:ascii="宋体" w:hAnsi="宋体" w:cs="宋体"/>
      <w:b/>
      <w:bCs/>
      <w:kern w:val="44"/>
      <w:sz w:val="28"/>
      <w:szCs w:val="44"/>
      <w:lang w:bidi="ar"/>
    </w:rPr>
  </w:style>
  <w:style w:type="paragraph" w:styleId="3">
    <w:name w:val="heading 2"/>
    <w:basedOn w:val="4"/>
    <w:next w:val="1"/>
    <w:unhideWhenUsed/>
    <w:qFormat/>
    <w:uiPriority w:val="0"/>
    <w:pPr>
      <w:widowControl/>
      <w:pBdr>
        <w:top w:val="none" w:color="auto" w:sz="0" w:space="0"/>
        <w:left w:val="none" w:color="auto" w:sz="0" w:space="0"/>
        <w:bottom w:val="none" w:color="auto" w:sz="0" w:space="0"/>
        <w:right w:val="none" w:color="auto" w:sz="0" w:space="0"/>
      </w:pBdr>
      <w:spacing w:beforeAutospacing="0" w:afterAutospacing="0" w:line="240" w:lineRule="auto"/>
      <w:ind w:firstLine="0" w:firstLineChars="0"/>
      <w:outlineLvl w:val="1"/>
    </w:pPr>
    <w:rPr>
      <w:rFonts w:ascii="楷体" w:hAnsi="楷体" w:eastAsia="楷体" w:cs="楷体"/>
      <w:color w:val="000000"/>
      <w:sz w:val="28"/>
      <w:szCs w:val="28"/>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next w:val="1"/>
    <w:semiHidden/>
    <w:unhideWhenUsed/>
    <w:qFormat/>
    <w:uiPriority w:val="0"/>
    <w:pPr>
      <w:keepNext/>
      <w:keepLines/>
      <w:spacing w:beforeLines="0" w:beforeAutospacing="0" w:afterLines="0" w:afterAutospacing="0" w:line="360" w:lineRule="auto"/>
      <w:outlineLvl w:val="3"/>
    </w:pPr>
    <w:rPr>
      <w:rFonts w:ascii="Arial" w:hAnsi="Arial" w:eastAsia="宋体" w:cstheme="minorBidi"/>
      <w:sz w:val="24"/>
    </w:rPr>
  </w:style>
  <w:style w:type="paragraph" w:styleId="6">
    <w:name w:val="heading 5"/>
    <w:basedOn w:val="1"/>
    <w:next w:val="1"/>
    <w:semiHidden/>
    <w:unhideWhenUsed/>
    <w:qFormat/>
    <w:uiPriority w:val="0"/>
    <w:pPr>
      <w:keepNext/>
      <w:keepLines/>
      <w:spacing w:beforeLines="0" w:beforeAutospacing="0" w:afterLines="0" w:afterAutospacing="0" w:line="360" w:lineRule="auto"/>
      <w:outlineLvl w:val="4"/>
    </w:pPr>
    <w:rPr>
      <w:sz w:val="24"/>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12">
    <w:name w:val="Strong"/>
    <w:basedOn w:val="11"/>
    <w:qFormat/>
    <w:uiPriority w:val="0"/>
    <w:rPr>
      <w:b/>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726</Words>
  <Characters>797</Characters>
  <Lines>0</Lines>
  <Paragraphs>0</Paragraphs>
  <TotalTime>30</TotalTime>
  <ScaleCrop>false</ScaleCrop>
  <LinksUpToDate>false</LinksUpToDate>
  <CharactersWithSpaces>807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2026-08-11T04:03:00Z</dcterms:created>
  <dc:creator>Des.</dc:creator>
  <cp:lastModifiedBy>hengli</cp:lastModifiedBy>
  <dcterms:modified xsi:type="dcterms:W3CDTF">2026-10-19T09:42:27Z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405455B9240449F78D30C2B4F0E442A8_13</vt:lpwstr>
  </property>
  <property fmtid="{D5CDD505-2E9C-101B-9397-08002B2CF9AE}" pid="4" name="KSOTemplateDocerSaveRecord">
    <vt:lpwstr>eyJoZGlkIjoiNGMxZWRmOTczMTA2ZTYyZWRmYzY4ODQxMjU5NGZhYjciLCJ1c2VySWQiOiIzNDQ0MDEwMTEifQ==</vt:lpwstr>
  </property>
</Properties>
</file>